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b/>
          <w:color w:val="333333"/>
          <w:sz w:val="36"/>
          <w:szCs w:val="36"/>
        </w:rPr>
        <w:t>国务院关于全面加强</w:t>
      </w: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b/>
          <w:color w:val="333333"/>
          <w:sz w:val="36"/>
          <w:szCs w:val="36"/>
        </w:rPr>
        <w:t>基础科学研究的若干意见</w:t>
      </w:r>
    </w:p>
    <w:p>
      <w:pPr>
        <w:pStyle w:val="2"/>
        <w:keepNext w:val="0"/>
        <w:keepLines w:val="0"/>
        <w:widowControl/>
        <w:suppressLineNumbers w:val="0"/>
        <w:spacing w:before="0" w:beforeAutospacing="0" w:after="0" w:afterAutospacing="0" w:line="432" w:lineRule="auto"/>
        <w:jc w:val="center"/>
      </w:pPr>
      <w:bookmarkStart w:id="0" w:name="_GoBack"/>
      <w:bookmarkEnd w:id="0"/>
      <w:r>
        <w:rPr>
          <w:rFonts w:ascii="楷体" w:hAnsi="楷体" w:eastAsia="楷体" w:cs="楷体"/>
          <w:color w:val="333333"/>
          <w:sz w:val="24"/>
          <w:szCs w:val="24"/>
        </w:rPr>
        <w:t>国发〔2018〕4号</w:t>
      </w:r>
    </w:p>
    <w:p>
      <w:pPr>
        <w:pStyle w:val="2"/>
        <w:keepNext w:val="0"/>
        <w:keepLines w:val="0"/>
        <w:widowControl/>
        <w:suppressLineNumbers w:val="0"/>
        <w:spacing w:before="0" w:beforeAutospacing="0" w:after="0" w:afterAutospacing="0" w:line="432" w:lineRule="auto"/>
        <w:jc w:val="both"/>
      </w:pPr>
    </w:p>
    <w:p>
      <w:pPr>
        <w:pStyle w:val="2"/>
        <w:keepNext w:val="0"/>
        <w:keepLines w:val="0"/>
        <w:widowControl/>
        <w:suppressLineNumbers w:val="0"/>
        <w:spacing w:before="0" w:beforeAutospacing="0" w:after="0" w:afterAutospacing="0" w:line="432" w:lineRule="auto"/>
        <w:jc w:val="both"/>
      </w:pPr>
      <w:r>
        <w:rPr>
          <w:rFonts w:hint="eastAsia" w:ascii="宋体" w:hAnsi="宋体" w:eastAsia="宋体" w:cs="宋体"/>
          <w:color w:val="333333"/>
          <w:sz w:val="24"/>
          <w:szCs w:val="24"/>
        </w:rPr>
        <w:t>各省、自治区、直辖市人民政府，国务院各部委、各直属机构：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强大的基础科学研究是建设世界科技强国的基石。当前，新一轮科技革命和产业变革蓬勃兴起，科学探索加速演进，学科交叉融合更加紧密，一些基本科学问题孕育重大突破。世界主要发达国家普遍强化基础研究战略部署，全球科技竞争不断向基础研究前移。经过多年发展，我国基础科学研究取得长足进步，整体水平显著提高，国际影响力日益提升，支撑引领经济社会发展的作用不断增强。但与建设世界科技强国的要求相比，我国基础科学研究短板依然突出，数学等基础学科仍是最薄弱的环节，重大原创性成果缺乏，基础研究投入不足、结构不合理，顶尖人才和团队匮乏，评价激励制度亟待完善，企业重视不够，全社会支持基础研究的环境需要进一步优化。为进一步加强基础科学研究，大幅提升原始创新能力，夯实建设创新型国家和世界科技强国的基础，现提出以下意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一、总体要求</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（一）指导思想。</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全面贯彻党的十九大精神，以习近平新时代中国特色社会主义思想为指导，贯彻创新、协调、绿色、开放、共享的新发展理念，按照党中央、国务院决策部署，深入实施科教兴国战略、创新驱动发展战略，充分发挥科学技术作为第一生产力的作用，充分发挥创新作为引领发展第一动力的作用，瞄准世界科技前沿，强化基础研究，深化科技体制改革，促进基础研究与应用研究融通创新发展，着力实现前瞻性基础研究、引领性原创成果重大突破，全面提升创新能力，全面推进创新型国家和世界科技强国建设，为加快建设社会主义现代化强国、实现中华民族伟大复兴的中国梦提供强大支撑。</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（二）基本原则。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遵循科学规律，坚持分类指导。尊重科学研究灵感瞬间性、方式随意性、路径不确定性的特点，营造有利于创新的环境和文化，鼓励科学家自由畅想、大胆假设、认真求证。推动自由探索和目标导向有机结合，自由探索类基础研究聚焦探索未知的科学问题，勇攀科学高峰；目标导向类基础研究紧密结合经济社会发展需求，加强战略领域前瞻部署。</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突出原始创新，促进融通发展。把提升原始创新能力摆在更加突出位置，坚定创新自信，勇于挑战最前沿的科学问题，提出更多原创理论，作出更多原创发现。强化科教融合、军民融合和产学研深度融合，坚持需求牵引，促进基础研究、应用研究与产业化对接融通，推动不同行业和领域创新要素有效对接。</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创新体制机制，增强创新活力。突出以人为导向，深化科研项目和经费管理改革，营造宽松科研环境，使科研人员潜心、长期从事基础研究。完善分类评价机制，调动科学家、科研院所、高校、企业等方面的积极性创造性。创新政府管理方式，引导企业加强基础研究，提升市场竞争力。</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加强协同创新，扩大开放合作。适应大科学、大数据、互联网时代新要求，积极探索科研活动协同合作、众包众筹等新方式，破解科学难题、共享创新成果。坚持全球视野，创新人才培养机制，多方引才引智。主动融入全球创新网络，加强创新能力开放合作，打造国际合作新平台，共同应对全球关注的重大科学挑战。</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强化稳定支持，优化投入结构。加大中央财政对基础研究的稳定支持力度，构建基础研究多元化投入机制，引导鼓励地方、企业和社会力量增加基础研究投入。建立稳定支持和竞争性支持相协调的投入机制，推动科学研究、人才培养与基地建设全面发展。</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（三）发展目标。</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到2020年，我国基础科学研究整体水平和国际影响力显著提升，在若干重要领域跻身世界先进行列，在科学前沿重要方向取得一批重大原创性科学成果，解决一批面向国家战略需求的前瞻性重大科学问题，支撑引领创新驱动发展的源头供给能力显著增强，为全面建成小康社会、进入创新型国家行列提供有力支撑。</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到2035年，我国基础科学研究整体水平和国际影响力大幅跃升，在更多重要领域引领全球发展，产出一批对世界科技发展和人类文明进步有重要影响的原创性科学成果，为基本实现社会主义现代化、跻身创新型国家前列奠定坚实基础。</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到本世纪中叶，把我国建设成为世界主要科学中心和创新高地，涌现出一批重大原创性科学成果和国际顶尖水平的科学大师，为建成富强民主文明和谐美丽的社会主义现代化强国和世界科技强国提供强大的科学支撑。</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二、完善基础研究布局</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（四）强化基础研究系统部署。</w:t>
      </w:r>
      <w:r>
        <w:rPr>
          <w:rFonts w:hint="eastAsia" w:ascii="宋体" w:hAnsi="宋体" w:eastAsia="宋体" w:cs="宋体"/>
          <w:color w:val="333333"/>
          <w:sz w:val="24"/>
          <w:szCs w:val="24"/>
        </w:rPr>
        <w:t>坚持从教育抓起，潜心加强基础科学研究，对数学、物理等重点基础学科给予更多倾斜。完善学科布局，推动基础学科与应用学科均衡协调发展，鼓励开展跨学科研究，促进自然科学、人文社会科学等不同学科之间的交叉融合。加强基础前沿科学研究，围绕宇宙演化、物质结构、生命起源、脑与认知等开展探索，加强对量子科学、脑科学、合成生物学、空间科学、深海科学等重大科学问题的超前部署。加强应用基础研究，围绕经济社会发展和国家安全的重大需求，突出关键共性技术、前沿引领技术、现代工程技术、颠覆性技术创新，在农业、材料、能源、网络信息、制造与工程等领域和行业集中力量攻克一批重大科学问题。围绕改善民生和促进可持续发展的迫切需求，进一步加强资源环境、人口健康、新型城镇化、公共安全等领域基础科学研究。聚焦未来可能产生变革性技术的基础科学领域，强化重大原创性研究和前沿交叉研究。</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（五）优化国家科技计划基础研究支持体系。</w:t>
      </w:r>
      <w:r>
        <w:rPr>
          <w:rFonts w:hint="eastAsia" w:ascii="宋体" w:hAnsi="宋体" w:eastAsia="宋体" w:cs="宋体"/>
          <w:color w:val="333333"/>
          <w:sz w:val="24"/>
          <w:szCs w:val="24"/>
        </w:rPr>
        <w:t>发挥国家自然科学基金支持源头创新的重要作用，更加聚焦基础学科和前沿探索，支持人才和团队建设。加强国家科技重大专项与国家其他重大项目和重大工程的衔接，推动基础研究成果共享，发挥好基础研究的基石作用。拓展实施国家重大科技项目，加快实施量子通信与量子计算机、脑科学与类脑研究等“科技创新2030—重大项目”，推动对其他重大基础前沿和战略必争领域的前瞻部署。加快实施国家重点研发计划，聚焦国家重大战略任务，进一步加强基础研究前瞻部署，从基础前沿、重大关键共性技术到应用示范进行全链条创新设计、一体化组织实施。健全技术创新引导专项（基金）运行机制，引导地方、企业和社会力量加大对基础研究的支持。优化基地和人才专项布局，加快基础研究创新基地建设和能力提升，促进科技资源开放共享。</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（六）优化基础研究区域布局。</w:t>
      </w:r>
      <w:r>
        <w:rPr>
          <w:rFonts w:hint="eastAsia" w:ascii="宋体" w:hAnsi="宋体" w:eastAsia="宋体" w:cs="宋体"/>
          <w:color w:val="333333"/>
          <w:sz w:val="24"/>
          <w:szCs w:val="24"/>
        </w:rPr>
        <w:t>聚焦国家区域发展战略，创新引领率先实现东部地区优化发展，推动中西部地区走差异化和跨越式发展道路，构建各具特色的区域基础研究发展格局。支持北京、上海建设具有全球影响力的科技创新中心，推动粤港澳大湾区打造国际科技创新中心。加强北京怀柔、上海张江、安徽合肥等综合性国家科学中心建设，打造原始创新高地。充分发挥国家自主创新示范区、国家高新区作用，突出已有优势，强化东北和中西部地区基础研究布局，构建跨区域创新网络。</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（七）推进国家重大科技基础设施建设。</w:t>
      </w:r>
      <w:r>
        <w:rPr>
          <w:rFonts w:hint="eastAsia" w:ascii="宋体" w:hAnsi="宋体" w:eastAsia="宋体" w:cs="宋体"/>
          <w:color w:val="333333"/>
          <w:sz w:val="24"/>
          <w:szCs w:val="24"/>
        </w:rPr>
        <w:t>聚焦能源、生命、地球系统与环境、材料、粒子物理和核物理、空间天文、工程技术等领域，依托高校、科研院所等布局建设一批国家重大科技基础设施。鼓励和引导地方、社会力量投资建设重大科技基础设施，加快缓解设施供给不足问题。支持各类创新主体依托重大科技基础设施开展科学前沿问题研究，加快提升科学发现和原始创新能力，支撑重大科技突破。</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三、建设高水平研究基地</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（八）布局建设国家实验室。</w:t>
      </w:r>
      <w:r>
        <w:rPr>
          <w:rFonts w:hint="eastAsia" w:ascii="宋体" w:hAnsi="宋体" w:eastAsia="宋体" w:cs="宋体"/>
          <w:color w:val="333333"/>
          <w:sz w:val="24"/>
          <w:szCs w:val="24"/>
        </w:rPr>
        <w:t>聚焦国家目标和战略需求，在有望引领未来发展的战略制高点，统筹部署和建设突破型、引领型、平台型一体的国家实验室，给任务、给机制、给条件、给支持，激发其创新活力。选择最优秀的团队和最有优势的创新单元，整合全国创新资源，聚集国内外一流人才，探索建立符合大科学时代科研规律的科学研究组织形式。建立国家实验室稳定支持机制，开展具有重大引领作用的跨学科、大协同的创新攻关，打造体现国家意志、具有世界一流水平、引领发展的重要战略科技力量。</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（九）加强基础研究创新基地建设。</w:t>
      </w:r>
      <w:r>
        <w:rPr>
          <w:rFonts w:hint="eastAsia" w:ascii="宋体" w:hAnsi="宋体" w:eastAsia="宋体" w:cs="宋体"/>
          <w:color w:val="333333"/>
          <w:sz w:val="24"/>
          <w:szCs w:val="24"/>
        </w:rPr>
        <w:t>优化国家重点实验室布局，在前沿、新兴、交叉、边缘等学科以及布局薄弱学科，依托高校、科研院所和骨干企业等部署建设一批国家重点实验室和国防科技重点实验室，推进学科交叉国家研究中心建设。加强转制科研院所创新能力建设，引导有条件的转制科研院所更多聚焦科学前沿和应用基础研究，打造引领行业发展的原始创新高地。加强企业国家重点实验室建设，支持企业与高校、科研院所等共建研发机构和联合实验室，加强面向行业共性问题的应用基础研究。推进军民共建、省部共建和港澳国家重点实验室建设。加强国家野外科学观测研究站建设，提升野外观测研究示范能力。强化对科技创新基地的定期评估考核和调整，坚持能进能出，提升持续创新活力。</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四、壮大基础研究人才队伍</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（十）培养造就具有国际水平的战略科技人才和科技领军人才。</w:t>
      </w:r>
      <w:r>
        <w:rPr>
          <w:rFonts w:hint="eastAsia" w:ascii="宋体" w:hAnsi="宋体" w:eastAsia="宋体" w:cs="宋体"/>
          <w:color w:val="333333"/>
          <w:sz w:val="24"/>
          <w:szCs w:val="24"/>
        </w:rPr>
        <w:t>把握国际发展机遇，围绕国家重大需求，创新人才培养、引进、使用机制，更大力度推进实施国家“千人计划”、“万人计划”等高层次人才引进和培养计划，多方引才引智，广聚天下英才。在我国优势科研领域设立一批科学家工作室，培养一批具有前瞻性和国际眼光的战略科学家群体。建立健全人才流动机制，鼓励人才在高校、科研院所和企业之间合理流动。</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（十一）加强中青年和后备科技人才培养。</w:t>
      </w:r>
      <w:r>
        <w:rPr>
          <w:rFonts w:hint="eastAsia" w:ascii="宋体" w:hAnsi="宋体" w:eastAsia="宋体" w:cs="宋体"/>
          <w:color w:val="333333"/>
          <w:sz w:val="24"/>
          <w:szCs w:val="24"/>
        </w:rPr>
        <w:t>建立国际通行的访问学者制度，完善博士后制度，吸引国内外优秀青年博士在国内从事博士后研究。鼓励科研院所与高校加强协同创新和人才联合培养，加强基础研究后备科技人才队伍建设，支持具有发展潜力的中青年科学家开展探索性、原创性研究。</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（十二）稳定高水平实验技术人才队伍。</w:t>
      </w:r>
      <w:r>
        <w:rPr>
          <w:rFonts w:hint="eastAsia" w:ascii="宋体" w:hAnsi="宋体" w:eastAsia="宋体" w:cs="宋体"/>
          <w:color w:val="333333"/>
          <w:sz w:val="24"/>
          <w:szCs w:val="24"/>
        </w:rPr>
        <w:t>建立健全符合实验技术人才及其岗位特点的评价体系和激励机制，提高实验技术人才的地位和待遇。加大实验技术人才、专职工程技术人才和开放服务人才培养力度，优化科研队伍结构。加强实验技术人员培训，提升技术能力和水平。</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（十三）建设高水平创新团队。</w:t>
      </w:r>
      <w:r>
        <w:rPr>
          <w:rFonts w:hint="eastAsia" w:ascii="宋体" w:hAnsi="宋体" w:eastAsia="宋体" w:cs="宋体"/>
          <w:color w:val="333333"/>
          <w:sz w:val="24"/>
          <w:szCs w:val="24"/>
        </w:rPr>
        <w:t>发挥国家重大科技基础设施、国家重点实验室等研究基地的集聚作用，稳定支持一批优秀创新团队持续从事基础科学研究。聚焦科学前沿，支持高水平研究型大学和科研院所选择优势基础学科建设国家青年英才培养基地，组建跨学科、综合交叉的科研团队，加强协同合作。</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五、提高基础研究国际化水平</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（十四）组织实施国际大科学计划和大科学工程。</w:t>
      </w:r>
      <w:r>
        <w:rPr>
          <w:rFonts w:hint="eastAsia" w:ascii="宋体" w:hAnsi="宋体" w:eastAsia="宋体" w:cs="宋体"/>
          <w:color w:val="333333"/>
          <w:sz w:val="24"/>
          <w:szCs w:val="24"/>
        </w:rPr>
        <w:t>继续参与他国发起或多国发起的国际大科学计划和大科学工程，积极承担任务，深度参与运行管理，积累管理经验。立足我国现有基础条件，综合考虑潜在风险，编制我国牵头组织国际大科学计划和大科学工程规划，重点在我国相关优势特色领域选择具有合作潜力的若干项目进行培育，力争发起组织新的国际大科学计划和大科学工程。主动参与国际大科学计划和大科学工程相关规则的起草制定。</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（十五）深化基础研究国际合作。</w:t>
      </w:r>
      <w:r>
        <w:rPr>
          <w:rFonts w:hint="eastAsia" w:ascii="宋体" w:hAnsi="宋体" w:eastAsia="宋体" w:cs="宋体"/>
          <w:color w:val="333333"/>
          <w:sz w:val="24"/>
          <w:szCs w:val="24"/>
        </w:rPr>
        <w:t>加大国家科技计划开放力度，支持海外专家牵头或参与国家科技计划项目，吸引国际高端人才来华开展联合研究，加快提升我国基础科学研究水平和原始创新能力。落实“一带一路”科技创新行动计划，全面提升科技创新合作层次和水平，打造“一带一路”协同创新共同体。深化政府间科技合作，分类制定国别战略，建立国际创新合作平台，联合开展科学前沿问题研究。</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六、优化基础研究发展机制和环境</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（十六）加强基础研究顶层设计和统筹协调。</w:t>
      </w:r>
      <w:r>
        <w:rPr>
          <w:rFonts w:hint="eastAsia" w:ascii="宋体" w:hAnsi="宋体" w:eastAsia="宋体" w:cs="宋体"/>
          <w:color w:val="333333"/>
          <w:sz w:val="24"/>
          <w:szCs w:val="24"/>
        </w:rPr>
        <w:t>加强统筹规划，集中资源要素，瞄准世界科技发展前沿，突出原始创新。在国家科技计划（专项、基金等）管理部际联席会议机制下，成立基础研究战略咨询委员会，研判基础研究发展趋势，开展基础研究战略咨询，提出我国基础研究重大需求和工作部署建议。强化中央和地方、中央部门间协调，推进军民基础研究融合发展。结合国际一流科研机构、世界一流大学和一流学科建设，推进基础研究科教融合。</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（十七）建立基础研究多元化投入机制。</w:t>
      </w:r>
      <w:r>
        <w:rPr>
          <w:rFonts w:hint="eastAsia" w:ascii="宋体" w:hAnsi="宋体" w:eastAsia="宋体" w:cs="宋体"/>
          <w:color w:val="333333"/>
          <w:sz w:val="24"/>
          <w:szCs w:val="24"/>
        </w:rPr>
        <w:t>加大中央财政对基础研究的支持力度，完善对高校、科研院所、科学家的长期稳定支持机制。采取政府引导、税收杠杆等方式，落实研发费用加计扣除等政策，探索共建新型研发机构、联合资助、慈善捐赠等措施，激励企业和社会力量加大基础研究投入。探索实施中央和地方共同出资、共同组织国家重大基础研究任务的新机制。地方政府要结合本地区经济社会发展需要，加大对基础研究的支持力度。</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（十八）进一步深化科研项目和经费管理改革。</w:t>
      </w:r>
      <w:r>
        <w:rPr>
          <w:rFonts w:hint="eastAsia" w:ascii="宋体" w:hAnsi="宋体" w:eastAsia="宋体" w:cs="宋体"/>
          <w:color w:val="333333"/>
          <w:sz w:val="24"/>
          <w:szCs w:val="24"/>
        </w:rPr>
        <w:t>完善符合基础研究规律的项目组织、申报、评审与决策机制，遴选基础研究项目时更多注重对研究方向、人才团队及其创新能力的考察。简化基础研究项目任务书和预算书，落实法人单位和科研人员的经费使用自主权，使科研人员有充足时间心无旁骛地开展科学研究，让经费为人的创造性活动服务。探索直接委托国家科技创新基地承担国家科研任务的机制。</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（十九）推动基础研究与应用研究融通。</w:t>
      </w:r>
      <w:r>
        <w:rPr>
          <w:rFonts w:hint="eastAsia" w:ascii="宋体" w:hAnsi="宋体" w:eastAsia="宋体" w:cs="宋体"/>
          <w:color w:val="333333"/>
          <w:sz w:val="24"/>
          <w:szCs w:val="24"/>
        </w:rPr>
        <w:t>在重视原创性、颠覆性发明创造的基础上，大力推进智能制造、信息技术、现代农业、资源环境等重点领域应用技术创新，通过应用研究衔接原始创新与产业化。创新体制机制，推动基础研究、应用研究与产业化对接融通，促进科研院所、高校、企业、创客等各类创新主体协作融通，把国家重大科技项目等打造成为融通创新的重要载体。充分发挥企业特别是转制科研院所在产学研深度融合中的作用，推动基础研究和应用研究工程化，吸引国内外资金、技术，提升产业竞争力。适应互联网时代创新活动开源开放的新趋势，创新基础研究组织形式，探索开展基础研究众包众筹，举办多种形式的创新挑战赛，加强知识产权保护，建立集群思、汇众智、解难题的众创空间。</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（二十）促进科技资源开放共享。</w:t>
      </w:r>
      <w:r>
        <w:rPr>
          <w:rFonts w:hint="eastAsia" w:ascii="宋体" w:hAnsi="宋体" w:eastAsia="宋体" w:cs="宋体"/>
          <w:color w:val="333333"/>
          <w:sz w:val="24"/>
          <w:szCs w:val="24"/>
        </w:rPr>
        <w:t>加强国家科技资源共享服务平台建设和科学数据管理，统筹国家科技创新基地规划布局，推进国家科学数据中心、国家种质资源库、人类遗传资源和实验材料库（馆）建设，促进国防科技资源开放共享。面向重要基础科学问题和重大战略需求，加强基础性、公益性的自然本底数据、种质、标本等科技基础条件资源收集。完善国家科技报告制度，推动更多国家重大科技基础设施、科学数据和仪器设备向各类创新主体开放。强化新购大型科研仪器查重评议，建立健全科研设施与仪器开放共享管理机制和后补助机制。发挥创新券在促进科研设施与仪器开放共享方面的作用，强化法人单位开放共享的主体责任和义务。</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（二十一）建立完善符合基础研究特点和规律的评价机制。</w:t>
      </w:r>
      <w:r>
        <w:rPr>
          <w:rFonts w:hint="eastAsia" w:ascii="宋体" w:hAnsi="宋体" w:eastAsia="宋体" w:cs="宋体"/>
          <w:color w:val="333333"/>
          <w:sz w:val="24"/>
          <w:szCs w:val="24"/>
        </w:rPr>
        <w:t>开展基础研究差别化评价试点，针对不同高校、科研院所实行分类评价，制定相应标准和程序，完善以创新质量和学术贡献为核心的评价机制。自由探索类基础研究主要评价研究的原创性和学术贡献，探索长周期评价和国际同行评价；目标导向类基础研究主要评价解决重大科学问题的效能，加强过程评估，建立长效监管机制，提高创新效率。支持高校与科研院所自主布局基础研究，扩大高校与科研院所学术自主权和个人科研选题选择权。健全完善科技奖励等激励机制，提升科研人员荣誉感；建立鼓励创新、宽容失败的容错机制，鼓励科研人员大胆探索、挑战未知。</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（二十二）加强科研诚信建设。</w:t>
      </w:r>
      <w:r>
        <w:rPr>
          <w:rFonts w:hint="eastAsia" w:ascii="宋体" w:hAnsi="宋体" w:eastAsia="宋体" w:cs="宋体"/>
          <w:color w:val="333333"/>
          <w:sz w:val="24"/>
          <w:szCs w:val="24"/>
        </w:rPr>
        <w:t>坚持科学监督与诚信教育相结合，教育引导科研人员坚守学术诚信、恪守学术道德、完善学术人格、维护学术尊严。指导高校、科研院所等建立完善学术管理制度，对科研人员学术成长轨迹和学术水平进行跟踪评价，对重要学术成果发表加强审核和学术把关。抓紧制定对科研不端行为“零容忍”、树立正确科研评价导向的规定，加大对科研造假行为的打击力度，夯实我国科研诚信基础。</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（二十三）推动科学普及，弘扬科学精神和创新文化。</w:t>
      </w:r>
      <w:r>
        <w:rPr>
          <w:rFonts w:hint="eastAsia" w:ascii="宋体" w:hAnsi="宋体" w:eastAsia="宋体" w:cs="宋体"/>
          <w:color w:val="333333"/>
          <w:sz w:val="24"/>
          <w:szCs w:val="24"/>
        </w:rPr>
        <w:t>充分发挥基础研究对传播科学思想、弘扬科学精神和创新文化的重要作用，鼓励科学家面向社会公众普及科学知识。推动国家重点实验室等创新基地面向社会开展多种形式的科普活动。</w:t>
      </w:r>
    </w:p>
    <w:p>
      <w:pPr>
        <w:pStyle w:val="2"/>
        <w:keepNext w:val="0"/>
        <w:keepLines w:val="0"/>
        <w:widowControl/>
        <w:suppressLineNumbers w:val="0"/>
        <w:spacing w:before="0" w:beforeAutospacing="0" w:after="0" w:afterAutospacing="0" w:line="432" w:lineRule="auto"/>
        <w:jc w:val="right"/>
      </w:pPr>
      <w:r>
        <w:rPr>
          <w:rFonts w:hint="eastAsia" w:ascii="宋体" w:hAnsi="宋体" w:eastAsia="宋体" w:cs="宋体"/>
          <w:color w:val="333333"/>
          <w:sz w:val="24"/>
          <w:szCs w:val="24"/>
        </w:rPr>
        <w:t xml:space="preserve">国务院 </w:t>
      </w:r>
    </w:p>
    <w:p>
      <w:pPr>
        <w:pStyle w:val="2"/>
        <w:keepNext w:val="0"/>
        <w:keepLines w:val="0"/>
        <w:widowControl/>
        <w:suppressLineNumbers w:val="0"/>
        <w:spacing w:before="0" w:beforeAutospacing="0" w:after="0" w:afterAutospacing="0" w:line="432" w:lineRule="auto"/>
        <w:jc w:val="right"/>
      </w:pPr>
      <w:r>
        <w:rPr>
          <w:rFonts w:hint="eastAsia" w:ascii="宋体" w:hAnsi="宋体" w:eastAsia="宋体" w:cs="宋体"/>
          <w:color w:val="333333"/>
          <w:sz w:val="24"/>
          <w:szCs w:val="24"/>
        </w:rPr>
        <w:t xml:space="preserve">2018年1月19日 </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（此件公开发布）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442BD0"/>
    <w:rsid w:val="3F442B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uiPriority w:val="0"/>
    <w:rPr>
      <w:color w:val="000000"/>
      <w:u w:val="none"/>
    </w:rPr>
  </w:style>
  <w:style w:type="character" w:styleId="5">
    <w:name w:val="Hyperlink"/>
    <w:basedOn w:val="3"/>
    <w:uiPriority w:val="0"/>
    <w:rPr>
      <w:color w:val="000000"/>
      <w:u w:val="none"/>
    </w:rPr>
  </w:style>
  <w:style w:type="character" w:styleId="6">
    <w:name w:val="HTML Code"/>
    <w:basedOn w:val="3"/>
    <w:uiPriority w:val="0"/>
    <w:rPr>
      <w:rFonts w:ascii="Courier New" w:hAnsi="Courier New"/>
      <w:sz w:val="20"/>
      <w:bdr w:val="none" w:color="auto" w:sz="0" w:space="0"/>
    </w:rPr>
  </w:style>
  <w:style w:type="character" w:customStyle="1" w:styleId="8">
    <w:name w:val="gwds_nopic"/>
    <w:basedOn w:val="3"/>
    <w:uiPriority w:val="0"/>
  </w:style>
  <w:style w:type="character" w:customStyle="1" w:styleId="9">
    <w:name w:val="bg01"/>
    <w:basedOn w:val="3"/>
    <w:uiPriority w:val="0"/>
  </w:style>
  <w:style w:type="character" w:customStyle="1" w:styleId="10">
    <w:name w:val="m01"/>
    <w:basedOn w:val="3"/>
    <w:uiPriority w:val="0"/>
  </w:style>
  <w:style w:type="character" w:customStyle="1" w:styleId="11">
    <w:name w:val="m011"/>
    <w:basedOn w:val="3"/>
    <w:uiPriority w:val="0"/>
  </w:style>
  <w:style w:type="character" w:customStyle="1" w:styleId="12">
    <w:name w:val="name"/>
    <w:basedOn w:val="3"/>
    <w:uiPriority w:val="0"/>
    <w:rPr>
      <w:color w:val="6A6A6A"/>
      <w:u w:val="single"/>
    </w:rPr>
  </w:style>
  <w:style w:type="character" w:customStyle="1" w:styleId="13">
    <w:name w:val="dates"/>
    <w:basedOn w:val="3"/>
    <w:uiPriority w:val="0"/>
  </w:style>
  <w:style w:type="character" w:customStyle="1" w:styleId="14">
    <w:name w:val="tabg"/>
    <w:basedOn w:val="3"/>
    <w:uiPriority w:val="0"/>
    <w:rPr>
      <w:color w:val="FFFFFF"/>
      <w:sz w:val="27"/>
      <w:szCs w:val="27"/>
      <w:bdr w:val="none" w:color="auto" w:sz="0" w:space="0"/>
    </w:rPr>
  </w:style>
  <w:style w:type="character" w:customStyle="1" w:styleId="15">
    <w:name w:val="more4"/>
    <w:basedOn w:val="3"/>
    <w:uiPriority w:val="0"/>
    <w:rPr>
      <w:color w:val="666666"/>
      <w:sz w:val="18"/>
      <w:szCs w:val="18"/>
      <w:bdr w:val="none" w:color="auto" w:sz="0" w:space="0"/>
    </w:rPr>
  </w:style>
  <w:style w:type="character" w:customStyle="1" w:styleId="16">
    <w:name w:val="bg02"/>
    <w:basedOn w:val="3"/>
    <w:uiPriority w:val="0"/>
  </w:style>
  <w:style w:type="character" w:customStyle="1" w:styleId="17">
    <w:name w:val="font2"/>
    <w:basedOn w:val="3"/>
    <w:uiPriority w:val="0"/>
  </w:style>
  <w:style w:type="character" w:customStyle="1" w:styleId="18">
    <w:name w:val="font3"/>
    <w:basedOn w:val="3"/>
    <w:uiPriority w:val="0"/>
  </w:style>
  <w:style w:type="character" w:customStyle="1" w:styleId="19">
    <w:name w:val="laypage_curr"/>
    <w:basedOn w:val="3"/>
    <w:uiPriority w:val="0"/>
    <w:rPr>
      <w:color w:val="FFFDF4"/>
      <w:shd w:val="clear" w:fill="0B67A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2018-09-11T07:51:00Z</dcterms:created>
  <dc:creator>Administrator</dc:creator>
  <cp:lastModifiedBy>Administrator</cp:lastModifiedBy>
  <dcterms:modified xsi:type="dcterms:W3CDTF">2018-09-11T07:53:00Z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