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rPr>
          <w:rFonts w:hint="eastAsia" w:ascii="宋体" w:hAnsi="宋体" w:eastAsia="宋体" w:cs="宋体"/>
          <w:b/>
          <w:bCs/>
          <w:sz w:val="30"/>
          <w:szCs w:val="30"/>
        </w:rPr>
      </w:pPr>
      <w:r>
        <w:rPr>
          <w:rFonts w:hint="eastAsia" w:ascii="宋体" w:hAnsi="宋体" w:eastAsia="宋体" w:cs="宋体"/>
          <w:b/>
          <w:bCs/>
          <w:color w:val="333333"/>
          <w:sz w:val="30"/>
          <w:szCs w:val="30"/>
          <w:shd w:val="clear" w:fill="FFFFFF"/>
        </w:rPr>
        <w:t>中共中央办公厅 国务院办公厅印发《关于进一步完善中央财政科研项目资金管理等政策的若干意见》</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中共中央、国务院关于深化体制机制改革加快实施创新驱动发展战略的若干意见》和《国务院关于改进加强中央财政科研项目和资金管理的若干意见》印发以来，有力激发了创新创造活力，促进了科技事业发展，但也存在一些改革措施落实不到位、科研项目资金管理不够完善等问题。为贯彻落实中央关于深化改革创新、形成充满活力的科技管理和运行机制的要求，进一步完善中央财政科研项目资金管理等政策，现提出以下意见。</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一、总体要求</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全面贯彻落实党的十八大和十八届三中、四中、五中全会及全国科技创新大会精神，以邓小平理论、“三个代表”重要思想、科学发展观为指导，深入学习贯彻习近平总书记系列重要讲话精神，按照党中央、国务院决策部署，牢固树立和贯彻落实创新、协调、绿色、开放、共享的发展理念，深入实施创新驱动发展战略，促进大众创业、万众创新，进一步推进简政放权、放管结合、优化服务，改革和创新科研经费使用和管理方式，促进形成充满活力的科技管理和运行机制，以深化改革更好激发广大科研人员积极性。</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——坚持以人为本。以调动科研人员积极性和创造性为出发点和落脚点，强化激励机制，加大激励力度，激发创新创造活力。</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——坚持遵循规律。按照科研活动规律和财政预算管理要求，完善管理政策，优化管理流程，改进管理方式，适应科研活动实际需要。</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放管服”结合。进一步简政放权、放管结合、优化服务，扩大高校、科研院所在科研项目资金、差旅会议、基本建设、科研仪器设备采购等方面的管理权限，为科研人员潜心研究营造良好环境。同时，加强事中事后监管，严肃查处违法违纪问题。</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——坚持政策落实落地。细化实化政策规定，加强督查，狠抓落实，打通政策执行中的“堵点”，增强科研人员改革的成就感和获得感。</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二、改进中央财政科研项目资金管理</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简化预算编制，下放预算调剂权限。根据科研活动规律和特点，改进预算编制方法，实行部门预算批复前项目资金预拨制度，保证科研人员及时使用项目资金。下放预算调剂权限，在项目总预算不变的情况下，将直接费用中的材料费、测试化验加工费、燃料动力费、出版／文献／信息传播／知识产权事务费及其他支出预算调剂权下放给项目承担单位。简化预算编制科目，合并会议费、差旅费、国际合作与交流费科目，由科研人员结合科研活动实际需要编制预算并按规定统筹安排使用，其中不超过直接费用10%的，不需要提供预算测算依据。</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提高间接费用比重，加大绩效激励力度。中央财政科技计划（专项、基金等）中实行公开竞争方式的研发类项目，均要设立间接费用，核定比例可以提高到不超过直接费用扣除设备购置费的一定比例：500万元以下的部分为20%，500万元至1000万元的部分为15%，1000万元以上的部分为13%。加大对科研人员的激励力度，取消绩效支出比例限制。项目承担单位在统筹安排间接费用时，要处理好合理分摊间接成本和对科研人员激励的关系，绩效支出安排与科研人员在项目工作中的实际贡献挂钩。</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三）明确劳务费开支范围，不设比例限制。参与项目研究的研究生、博士后、访问学者以及项目聘用的研究人员、科研辅助人员等，均可开支劳务费。项目聘用人员的劳务费开支标准，参照当地科学研究和技术服务业从业人员平均工资水平，根据其在项目研究中承担的工作任务确定，其社会保险补助纳入劳务费科目列支。劳务费预算不设比例限制，由项目承担单位和科研人员据实编制。</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四）改进结转结余资金留用处理方式。项目实施期间，年度剩余资金可结转下一年度继续使用。项目完成任务目标并通过验收后，结余资金按规定留归项目承担单位使用，在2年内由项目承担单位统筹安排用于科研活动的直接支出；2年后未使用完的，按规定收回。</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（五）自主规范管理横向经费。项目承担单位以市场委托方式取得的横向经费，纳入单位财务统一管理，由项目承担单位按照委托方要求或合同约定管理使用。</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三、完善中央高校、科研院所差旅会议管理</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改进中央高校、科研院所教学科研人员差旅费管理。中央高校、科研院所可根据教学、科研、管理工作实际需要，按照精简高效、厉行节约的原则，研究制定差旅费管理办法，合理确定教学科研人员乘坐交通工具等级和住宿费标准。对于难以取得住宿费发票的，中央高校、科研院所在确保真实性的前提下，据实报销城市间交通费，并按规定标准发放伙食补助费和市内交通费。</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完善中央高校、科研院所会议管理。中央高校、科研院所因教学、科研需要举办的业务性会议（如学术会议、研讨会、评审会、座谈会、答辩会等），会议次数、天数、人数以及会议费开支范围、标准等，由中央高校、科研院所按照实事求是、精简高效、厉行节约的原则确定。会议代表参加会议所发生的城市间交通费，原则上按差旅费管理规定由所在单位报销；因工作需要，邀请国内外专家、学者和有关人员参加会议，对确需负担的城市间交通费、国际旅费，可由主办单位在会议费等费用中报销。</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四、完善中央高校、科研院所科研仪器设备采购管理</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改进中央高校、科研院所政府采购管理。中央高校、科研院所可自行采购科研仪器设备，自行选择科研仪器设备评审专家。财政部要简化政府采购项目预算调剂和变更政府采购方式审批流程。中央高校、科研院所要切实做好设备采购的监督管理，做到全程公开、透明、可追溯。</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（二）优化进口仪器设备采购服务。对中央高校、科研院所采购进口仪器设备实行备案制管理。继续落实进口科研教学用品免税政策。</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五、完善中央高校、科研院所基本建设项目管理</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扩大中央高校、科研院所基本建设项目管理权限。对中央高校、科研院所利用自有资金、不申请政府投资建设的项目，由中央高校、科研院所自主决策，报主管部门备案，不再进行审批。国家发展改革委和中央高校、科研院所主管部门要加强对中央高校、科研院所基本建设项目的指导和监督检查。</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简化中央高校、科研院所基本建设项目审批程序。中央高校、科研院所主管部门要指导中央高校、科研院所编制五年建设规划，对列入规划的基本建设项目不再审批项目建议书。简化中央高校、科研院所基本建设项目城乡规划、用地以及环评、能评等审批手续，缩短审批周期。</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六、规范管理，改进服务</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强化法人责任，规范资金管理。项目承担单位要认真落实国家有关政策规定，按照权责一致的要求，强化自我约束和自我规范，确保接得住、管得好。制定内部管理办法，落实项目预算调剂、间接费用统筹使用、劳务费分配管理、结余资金使用等管理权限；加强预算审核把关，规范财务支出行为，完善内部风险防控机制，强化资金使用绩效评价，保障资金使用安全规范有效；实行内部公开制度，主动公开项目预算、预算调剂、资金使用（重点是间接费用、外拨资金、结余资金使用）、研究成果等情况。</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加强统筹协调，精简检查评审。科技部、项目主管部门、财政部要加强对科研项目资金监督的制度规范、年度计划、结果运用等的统筹协调，建立职责明确、分工负责的协同工作机制。科技部、项目主管部门要加快清理规范委托中介机构对科研项目开展的各种检查评审，加强对前期已经开展相关检查结果的使用，推进检查结果共享，减少检查数量，改进检查方式，避免重复检查、多头检查、过度检查。</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三）创新服务方式，让科研人员潜心从事科学研究。项目承担单位要建立健全科研财务助理制度，为科研人员在项目预算编制和调剂、经费支出、财务决算和验收等方面提供专业化服务，科研财务助理所需费用可由项目承担单位根据情况通过科研项目资金等渠道解决。充分利用信息化手段，建立健全单位内部科研、财务部门和项目负责人共享的信息平台，提高科研管理效率和便利化程度。制定符合科研实际需要的内部报销规定，切实解决野外考察、心理测试等科研活动中无法取得发票或财政性票据，以及邀请外国专家来华参加学术交流发生费用等的报销问题。</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color w:val="333333"/>
          <w:sz w:val="24"/>
          <w:szCs w:val="24"/>
          <w:bdr w:val="none" w:color="auto" w:sz="0" w:space="0"/>
          <w:shd w:val="clear" w:fill="FFFFFF"/>
        </w:rPr>
        <w:t>七、加强制度建设和工作督查，确保政策措施落地见效</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尽快出台操作性强的实施细则。项目主管部门要完善预算编制指南，指导项目承担单位和科研人员科学合理编制项目预算；制定预算评估评审工作细则，优化评估程序和方法，规范评估行为，建立健全与项目申请者及时沟通反馈机制；制定财务验收工作细则，规范委托中介机构开展的财务检查。2016年9月1日前，中央高校、科研院所要制定出台差旅费、会议费内部管理办法，其主管部门要加强工作指导和统筹；2016年年底前，项目主管部门要制定出台相关实施细则，项目承担单位要制定或修订科研项目资金内部管理办法和报销规定。以后年度承担科研项目的单位要于当年制定出台相关管理办法和规定。</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加强对政策措施落实情况的督查指导。财政部、科技部要适时组织开展对项目承担单位科研项目资金等管理权限落实、内部管理办法制定、创新服务方式、内控机制建设、相关事项内部公开等情况的督查，对督查情况以适当方式进行通报，并将督查结果纳入信用管理，与间接费用核定、结余资金留用等挂钩。审计机关要依法开展对政策措施落实情况和财政资金的审计监督。项目主管部门要督促指导所属单位完善内部管理，确保国家政策规定落到实处。</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财政部、中央级社科类科研项目主管部门要结合社会科学研究的规律和特点，参照本意见尽快修订中央级社科类科研项目资金管理办法。</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各地区要参照本意见精神，结合实际，加快推进科研项目资金管理改革等各项工作。</w:t>
      </w:r>
    </w:p>
    <w:p>
      <w:pP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41433"/>
    <w:rsid w:val="7DF414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line="840" w:lineRule="atLeast"/>
      <w:ind w:left="0" w:right="0"/>
      <w:jc w:val="center"/>
    </w:pPr>
    <w:rPr>
      <w:rFonts w:hint="eastAsia" w:ascii="微软雅黑" w:hAnsi="微软雅黑" w:eastAsia="微软雅黑" w:cs="微软雅黑"/>
      <w:kern w:val="44"/>
      <w:sz w:val="57"/>
      <w:szCs w:val="57"/>
      <w:lang w:val="en-US" w:eastAsia="zh-CN" w:bidi="ar"/>
    </w:rPr>
  </w:style>
  <w:style w:type="character" w:default="1" w:styleId="4">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000000"/>
      <w:u w:val="none"/>
    </w:rPr>
  </w:style>
  <w:style w:type="character" w:styleId="6">
    <w:name w:val="HTML Definition"/>
    <w:basedOn w:val="4"/>
    <w:uiPriority w:val="0"/>
  </w:style>
  <w:style w:type="character" w:styleId="7">
    <w:name w:val="HTML Variable"/>
    <w:basedOn w:val="4"/>
    <w:uiPriority w:val="0"/>
  </w:style>
  <w:style w:type="character" w:styleId="8">
    <w:name w:val="Hyperlink"/>
    <w:basedOn w:val="4"/>
    <w:uiPriority w:val="0"/>
    <w:rPr>
      <w:color w:val="000000"/>
      <w:u w:val="none"/>
    </w:rPr>
  </w:style>
  <w:style w:type="character" w:styleId="9">
    <w:name w:val="HTML Code"/>
    <w:basedOn w:val="4"/>
    <w:uiPriority w:val="0"/>
    <w:rPr>
      <w:rFonts w:ascii="Courier New" w:hAnsi="Courier New"/>
      <w:color w:val="000000"/>
      <w:sz w:val="20"/>
      <w:u w:val="none"/>
    </w:rPr>
  </w:style>
  <w:style w:type="character" w:styleId="10">
    <w:name w:val="HTML Cite"/>
    <w:basedOn w:val="4"/>
    <w:uiPriority w:val="0"/>
  </w:style>
  <w:style w:type="character" w:customStyle="1" w:styleId="12">
    <w:name w:val="place"/>
    <w:basedOn w:val="4"/>
    <w:uiPriority w:val="0"/>
    <w:rPr>
      <w:bdr w:val="none" w:color="auto" w:sz="0" w:space="0"/>
    </w:rPr>
  </w:style>
  <w:style w:type="character" w:customStyle="1" w:styleId="13">
    <w:name w:val="place1"/>
    <w:basedOn w:val="4"/>
    <w:uiPriority w:val="0"/>
    <w:rPr>
      <w:bdr w:val="none" w:color="auto" w:sz="0" w:space="0"/>
    </w:rPr>
  </w:style>
  <w:style w:type="character" w:customStyle="1" w:styleId="14">
    <w:name w:val="place2"/>
    <w:basedOn w:val="4"/>
    <w:uiPriority w:val="0"/>
    <w:rPr>
      <w:rFonts w:ascii="微软雅黑" w:hAnsi="微软雅黑" w:eastAsia="微软雅黑" w:cs="微软雅黑"/>
      <w:color w:val="888888"/>
      <w:sz w:val="25"/>
      <w:szCs w:val="25"/>
      <w:bdr w:val="none" w:color="auto" w:sz="0" w:space="0"/>
    </w:rPr>
  </w:style>
  <w:style w:type="character" w:customStyle="1" w:styleId="15">
    <w:name w:val="place3"/>
    <w:basedOn w:val="4"/>
    <w:uiPriority w:val="0"/>
    <w:rPr>
      <w:bdr w:val="none" w:color="auto" w:sz="0" w:space="0"/>
    </w:rPr>
  </w:style>
  <w:style w:type="character" w:customStyle="1" w:styleId="16">
    <w:name w:val="font"/>
    <w:basedOn w:val="4"/>
    <w:uiPriority w:val="0"/>
  </w:style>
  <w:style w:type="character" w:customStyle="1" w:styleId="17">
    <w:name w:val="font1"/>
    <w:basedOn w:val="4"/>
    <w:uiPriority w:val="0"/>
  </w:style>
  <w:style w:type="character" w:customStyle="1" w:styleId="18">
    <w:name w:val="gwds_nopic"/>
    <w:basedOn w:val="4"/>
    <w:uiPriority w:val="0"/>
  </w:style>
  <w:style w:type="character" w:customStyle="1" w:styleId="19">
    <w:name w:val="gwds_nopic1"/>
    <w:basedOn w:val="4"/>
    <w:uiPriority w:val="0"/>
  </w:style>
  <w:style w:type="character" w:customStyle="1" w:styleId="20">
    <w:name w:val="gwds_nopic2"/>
    <w:basedOn w:val="4"/>
    <w:uiPriority w:val="0"/>
  </w:style>
  <w:style w:type="character" w:customStyle="1" w:styleId="21">
    <w:name w:val="hover18"/>
    <w:basedOn w:val="4"/>
    <w:uiPriority w:val="0"/>
    <w:rPr>
      <w:color w:val="025291"/>
    </w:rPr>
  </w:style>
  <w:style w:type="character" w:customStyle="1" w:styleId="22">
    <w:name w:val="noline"/>
    <w:basedOn w:val="4"/>
    <w:uiPriority w:val="0"/>
  </w:style>
  <w:style w:type="character" w:customStyle="1" w:styleId="23">
    <w:name w:val="laypage_curr"/>
    <w:basedOn w:val="4"/>
    <w:uiPriority w:val="0"/>
    <w:rPr>
      <w:color w:val="FFFDF4"/>
      <w:shd w:val="clear" w:fill="0B67A6"/>
    </w:rPr>
  </w:style>
  <w:style w:type="character" w:customStyle="1" w:styleId="24">
    <w:name w:val="hover19"/>
    <w:basedOn w:val="4"/>
    <w:uiPriority w:val="0"/>
    <w:rPr>
      <w:color w:val="02529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2018-09-11T01:33:00Z</dcterms:created>
  <dc:creator>Administrator</dc:creator>
  <cp:lastModifiedBy>Administrator</cp:lastModifiedBy>
  <dcterms:modified xsi:type="dcterms:W3CDTF">2018-09-11T01:39:01Z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